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  <w:u w:val="single"/>
        </w:rPr>
        <w:t>Lundi 11 mars Amphi 300</w:t>
      </w:r>
      <w:r>
        <w:rPr>
          <w:sz w:val="20"/>
          <w:szCs w:val="20"/>
        </w:rPr>
        <w:br/>
        <w:br/>
        <w:t>Daniel Andler</w:t>
        <w:br/>
        <w:br/>
        <w:t>Mathématicien et philosophe francais. Ses recherches se situent en philosophie des sciences et en</w:t>
        <w:br/>
        <w:t>philosophie de l'esprit et portent sur les fondements des sciences cognitives leurs rapports aux sciences</w:t>
        <w:br/>
        <w:t>sociales. Il s'intéresse également à l'application des connaissances scientifiques à différents secteurs</w:t>
        <w:br/>
        <w:t>d'activité et plus particulièrement à l'éducation à l'âge du numérique. Parmi ses ouvrages : La silhouette</w:t>
        <w:br/>
        <w:t>de l'humain. Quelle place pour le naturalisme dans le monde d'aujourd'hui ? Paris, Gallimard, coll. «</w:t>
        <w:br/>
        <w:t>NRF Essai .« Intelligence artificielle, intelligence humaine : la double énigme », de Daniel Andler,</w:t>
        <w:br/>
        <w:t>Gallimard,</w:t>
        <w:br/>
        <w:br/>
        <w:t>« Intelligence artificielle, intelligence humaine : la double énigme »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  <w:u w:val="single"/>
        </w:rPr>
        <w:t>Lundi 25 mars 18 h 30 Amphi 300</w:t>
      </w:r>
      <w:r>
        <w:rPr>
          <w:sz w:val="20"/>
          <w:szCs w:val="20"/>
        </w:rPr>
        <w:br/>
        <w:br/>
        <w:t>Jean Garrigues</w:t>
        <w:br/>
        <w:br/>
        <w:t>Jean Garigues est professeur d'histoire contemporaine à l'Université d'Orléans, vice-président de la</w:t>
        <w:br/>
        <w:t>CIHAE, directeur de publication de Parlement[s], spécialiste de l'histoire politique contemporaine. Il est</w:t>
        <w:br/>
        <w:t>Président du Comité d'histoire parlementaire et politique et directeur de la rédaction de Parlement(s),</w:t>
        <w:br/>
        <w:t>Revue d'histoire politique. Il a écrit ou co-dirigé une trentaine d'ouvrages.</w:t>
        <w:br/>
        <w:br/>
        <w:t>« Jours heureux. Quand les français rêvaient ensemble »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  <w:u w:val="single"/>
        </w:rPr>
        <w:t>Lundi 8 avril 18h30 Amphi 300</w:t>
      </w:r>
      <w:r>
        <w:rPr>
          <w:sz w:val="20"/>
          <w:szCs w:val="20"/>
        </w:rPr>
        <w:br/>
        <w:br/>
        <w:t>Marie Mandras</w:t>
        <w:br/>
        <w:br/>
        <w:t>Chercheure CNRS. Professeur à Sciences Po. Le thème central de ses recherches est la transformation</w:t>
        <w:br/>
        <w:t>de la Russie, de la dernière décennie soviétique à la période actuelle. Ses travaux portent sur les</w:t>
        <w:br/>
        <w:t>évolutions politiques et sociales, et les processus électoraux, en Russie, Ukraine et Biélorussie, ainsi que</w:t>
        <w:br/>
        <w:t>sur la politique étrangère russe et les relations de Moscou avec les pays occidentaux.</w:t>
        <w:br/>
        <w:br/>
        <w:t>« La Russie en guerre contre l'Ukraine. Analyse et perspectives »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  <w:u w:val="single"/>
        </w:rPr>
        <w:t>Lundi 29 avril Amphi 300</w:t>
      </w:r>
      <w:r>
        <w:rPr>
          <w:sz w:val="20"/>
          <w:szCs w:val="20"/>
        </w:rPr>
        <w:br/>
        <w:br/>
        <w:t>Stéphane Audouin-Rouzeau</w:t>
        <w:br/>
        <w:br/>
        <w:t>Directeur d'études à l'EHESS. Specialiste de la Première Guerre mondiale, il est president du</w:t>
        <w:br/>
        <w:t>Centre International de recherche de l'Historial de la Grande Guerre (Peronne-Somme). Ses</w:t>
        <w:br/>
        <w:t>intérêts le portent vers la question de la violence de guerre contemporaine, de la violence</w:t>
        <w:br/>
        <w:t>combattante en particulier. Son parcours l'a conduit également à aborder la question du génocide</w:t>
        <w:br/>
        <w:t>des Tutsi rwandais.</w:t>
        <w:br/>
        <w:br/>
        <w:t>"Le risque oublié de la guerre"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66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fr-F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LibreOffice/7.3.2.2$Windows_X86_64 LibreOffice_project/49f2b1bff42cfccbd8f788c8dc32c1c309559be0</Application>
  <AppVersion>15.0000</AppVersion>
  <Pages>1</Pages>
  <Words>326</Words>
  <Characters>1887</Characters>
  <CharactersWithSpaces>2221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2024-02-29T15:55:37Z</dcterms:created>
  <dc:creator/>
  <dc:description/>
  <dc:language>fr-FR</dc:language>
  <cp:lastModifiedBy/>
  <dcterms:modified xsi:type="dcterms:W3CDTF">2024-02-29T16:04:16Z</dcterms:modified>
  <cp:revision>1</cp:revision>
  <dc:subject/>
  <dc:title/>
</cp:coreProperties>
</file>